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6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4"/>
        <w:gridCol w:w="1477"/>
        <w:gridCol w:w="6933"/>
        <w:gridCol w:w="850"/>
        <w:gridCol w:w="8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" w:hRule="atLeast"/>
        </w:trPr>
        <w:tc>
          <w:tcPr>
            <w:tcW w:w="10600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eastAsia" w:ascii="Calibri" w:hAnsi="Calibri" w:eastAsia="宋体" w:cs="Times New Roman"/>
                <w:b/>
                <w:bCs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kern w:val="2"/>
                <w:sz w:val="28"/>
                <w:szCs w:val="22"/>
                <w:lang w:val="en-US" w:eastAsia="zh-CN" w:bidi="ar-SA"/>
              </w:rPr>
              <w:t>北京交通大学</w:t>
            </w:r>
            <w:r>
              <w:rPr>
                <w:rFonts w:hint="eastAsia" w:ascii="Calibri" w:hAnsi="Calibri" w:eastAsia="宋体" w:cs="Times New Roman"/>
                <w:b/>
                <w:bCs/>
                <w:kern w:val="2"/>
                <w:sz w:val="28"/>
                <w:szCs w:val="22"/>
                <w:lang w:val="en-US" w:eastAsia="zh-CN" w:bidi="ar-SA"/>
              </w:rPr>
              <w:t>动火风险分析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 w:hRule="atLeast"/>
        </w:trPr>
        <w:tc>
          <w:tcPr>
            <w:tcW w:w="4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18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4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18"/>
                <w:vertAlign w:val="baseline"/>
                <w:lang w:val="en-US" w:eastAsia="zh-CN" w:bidi="ar-SA"/>
              </w:rPr>
              <w:t>风险类型</w:t>
            </w:r>
          </w:p>
        </w:tc>
        <w:tc>
          <w:tcPr>
            <w:tcW w:w="6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18"/>
                <w:vertAlign w:val="baseline"/>
                <w:lang w:val="en-US" w:eastAsia="zh-CN" w:bidi="ar-SA"/>
              </w:rPr>
              <w:t>安全措施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18"/>
                <w:vertAlign w:val="baseline"/>
                <w:lang w:val="en-US" w:eastAsia="zh-CN" w:bidi="ar-SA"/>
              </w:rPr>
              <w:t>是否涉及</w:t>
            </w:r>
          </w:p>
        </w:tc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18"/>
                <w:vertAlign w:val="baseline"/>
                <w:lang w:val="en-US" w:eastAsia="zh-CN" w:bidi="ar-SA"/>
              </w:rPr>
              <w:t>确认人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易燃易爆有害物质</w:t>
            </w:r>
          </w:p>
        </w:tc>
        <w:tc>
          <w:tcPr>
            <w:tcW w:w="6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①将动火设备、管道内的物料清洗、置换，经分析合格。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②储罐动火，清除易燃物，罐内盛满清水或惰性气体保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护。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③设备内通（氮气、水蒸气）保护。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④塔内动火，将石棉布浸湿，铺在相邻两层塔盘上进行隔离。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⑤进入受限空间动火，必须办理《受限空间作业证》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4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火星窜入其它设备或易燃物侵入动火设备</w:t>
            </w:r>
          </w:p>
        </w:tc>
        <w:tc>
          <w:tcPr>
            <w:tcW w:w="6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切断与动火设备相连通的设备管道并加盲板一块隔断，挂牌，并办理《抽堵盲板作业证》。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动火点周围有易燃物</w:t>
            </w:r>
          </w:p>
        </w:tc>
        <w:tc>
          <w:tcPr>
            <w:tcW w:w="6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①清除动火点周围易燃物，动火附近的下水井、地漏、地沟、电缆沟等清除易燃后予封闭。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②电缆沟动火，清除沟内易燃气体、液体，必要时将沟两端隔绝。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泄漏电流（感应电）危害</w:t>
            </w:r>
          </w:p>
        </w:tc>
        <w:tc>
          <w:tcPr>
            <w:tcW w:w="6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电焊回路线应搭接在焊件上，不得与其它设备搭接，禁止穿越下水道（井）。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 w:hRule="atLeast"/>
        </w:trPr>
        <w:tc>
          <w:tcPr>
            <w:tcW w:w="4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火星飞溅</w:t>
            </w:r>
          </w:p>
        </w:tc>
        <w:tc>
          <w:tcPr>
            <w:tcW w:w="6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①高处动火办理《高处作业证》，并采取措施，防止火花飞溅。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②注意火星飞溅方向，用水冲淋火星落点。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气瓶间距不足或放置不当</w:t>
            </w:r>
          </w:p>
        </w:tc>
        <w:tc>
          <w:tcPr>
            <w:tcW w:w="6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①氧气瓶、溶解乙炔气瓶间距不小于5m，二者与动火地点之间均不小于10m。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②气瓶不准在烈日下曝晒，溶解乙炔气瓶禁止卧放。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 w:hRule="atLeast"/>
        </w:trPr>
        <w:tc>
          <w:tcPr>
            <w:tcW w:w="4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电、气焊工具有缺陷</w:t>
            </w:r>
          </w:p>
        </w:tc>
        <w:tc>
          <w:tcPr>
            <w:tcW w:w="6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动火作业前，应检查电、气焊工具，保证安全可靠，不准带病使用。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作业过程中，易燃物外泄</w:t>
            </w:r>
          </w:p>
        </w:tc>
        <w:tc>
          <w:tcPr>
            <w:tcW w:w="6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动火过程中，遇有跑料、串料和易燃气体，应立即停止动火。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通风不良</w:t>
            </w:r>
          </w:p>
        </w:tc>
        <w:tc>
          <w:tcPr>
            <w:tcW w:w="6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①室内动火，应将门窗打开，周围设备应遮盖，密封下水漏斗，清除油污，附近不得有用溶剂等易燃物质的清洗作业。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②采用局部强制通风；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4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未定时监测</w:t>
            </w:r>
          </w:p>
        </w:tc>
        <w:tc>
          <w:tcPr>
            <w:tcW w:w="6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①取样与动火间隔不得超过30min，如超过此间隔或动火作业中断时间超过30min，必须重新取样分析。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②做采样点应有代表性，特殊动火的分析样品应保留至动火结束。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③动火过程中，中断动火时，现场不得留有余火，重新动火前应认真检查现场条件是否有变化，如有变化，不得动火。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4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监护不当</w:t>
            </w:r>
          </w:p>
        </w:tc>
        <w:tc>
          <w:tcPr>
            <w:tcW w:w="6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①监火人应熟悉现场环境和检查确认安全措施落实到位，具备相关安全知识和应急技能，与岗位保持联系，随时掌握工况变化，并坚守现场。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②监火人随时扑灭飞溅的火花，发现异常立即通知动火人停止作业，联系有关人员采取措施。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应急设施不足或措施不当</w:t>
            </w:r>
          </w:p>
        </w:tc>
        <w:tc>
          <w:tcPr>
            <w:tcW w:w="6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①动火现场备有灭火工具（如蒸汽管、水管、灭火器、砂子、铁铣等）。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②固定泡沫灭火系统进行预启动状态。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涉及危险作业组合，未落实相应安全措施</w:t>
            </w:r>
          </w:p>
        </w:tc>
        <w:tc>
          <w:tcPr>
            <w:tcW w:w="6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若涉及下釜、高处、抽堵盲板、管道设备检修作业等危险作业时，应同时办理相关作业许可证。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施工条件发生重大变化</w:t>
            </w:r>
          </w:p>
        </w:tc>
        <w:tc>
          <w:tcPr>
            <w:tcW w:w="6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若施工条件发生重大变化，应重新办理《*级动火作业证》。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</w:trPr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default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  <w:t>其他风险类型</w:t>
            </w:r>
          </w:p>
        </w:tc>
        <w:tc>
          <w:tcPr>
            <w:tcW w:w="6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88" w:lineRule="atLeast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18"/>
                <w:vertAlign w:val="baseline"/>
                <w:lang w:val="en-US" w:eastAsia="zh-CN" w:bidi="ar-SA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zZThjZWUxOGEwOWEyMDliYmE3M2U4MDNlOGU0NWYifQ=="/>
  </w:docVars>
  <w:rsids>
    <w:rsidRoot w:val="2F605461"/>
    <w:rsid w:val="018757E1"/>
    <w:rsid w:val="214F059E"/>
    <w:rsid w:val="2F60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1003</Words>
  <Characters>1020</Characters>
  <Lines>0</Lines>
  <Paragraphs>0</Paragraphs>
  <TotalTime>0</TotalTime>
  <ScaleCrop>false</ScaleCrop>
  <LinksUpToDate>false</LinksUpToDate>
  <CharactersWithSpaces>1020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2024-07-08T00:58:00Z</dcterms:created>
  <dc:creator>小鹏</dc:creator>
  <cp:lastModifiedBy>小鹏</cp:lastModifiedBy>
  <dcterms:modified xsi:type="dcterms:W3CDTF">2024-07-08T03:05:18Z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F01211A5AA034BCB879FB60A5CD763A9_11</vt:lpwstr>
  </property>
</Properties>
</file>